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3A46A58" w14:textId="4B94AE9C" w:rsidR="00370351" w:rsidRPr="00A34234" w:rsidRDefault="00370351" w:rsidP="005D5CDE">
      <w:pPr>
        <w:jc w:val="right"/>
        <w:rPr>
          <w:rFonts w:hint="eastAsia"/>
          <w:i/>
          <w:sz w:val="20"/>
          <w:szCs w:val="20"/>
        </w:rPr>
      </w:pPr>
      <w:r w:rsidRPr="00A34234">
        <w:rPr>
          <w:i/>
          <w:sz w:val="20"/>
          <w:szCs w:val="20"/>
        </w:rPr>
        <w:t>Применяется в рамках</w:t>
      </w:r>
      <w:r w:rsidR="005D5CDE">
        <w:rPr>
          <w:i/>
          <w:sz w:val="20"/>
          <w:szCs w:val="20"/>
        </w:rPr>
        <w:t xml:space="preserve"> Договора комплексного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15FE042" w:rsidR="004804FC" w:rsidRPr="00781F6B" w:rsidRDefault="004804FC" w:rsidP="003667C0">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6548F2F2" w:rsidR="004804FC" w:rsidRPr="00781F6B" w:rsidRDefault="004804FC" w:rsidP="003667C0">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0"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1"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0"/>
      <w:r w:rsidRPr="00F814EF">
        <w:rPr>
          <w:rFonts w:ascii="Times New Roman" w:hAnsi="Times New Roman" w:cs="Times New Roman"/>
          <w:sz w:val="16"/>
          <w:szCs w:val="16"/>
        </w:rPr>
        <w:t xml:space="preserve">, </w:t>
      </w:r>
      <w:bookmarkEnd w:id="1"/>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2136DD1A"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r w:rsidR="00047BA4">
        <w:rPr>
          <w:rFonts w:ascii="Times New Roman" w:eastAsia="Times New Roman" w:hAnsi="Times New Roman" w:cs="Times New Roman"/>
          <w:b/>
          <w:color w:val="3B3838"/>
          <w:sz w:val="18"/>
          <w:szCs w:val="18"/>
          <w:lang w:eastAsia="ru-RU"/>
        </w:rPr>
        <w:t xml:space="preserve">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 xml:space="preserve">Первый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Предприниматель</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w:t>
      </w:r>
      <w:r w:rsidR="009938D3" w:rsidRPr="001155BA">
        <w:rPr>
          <w:rFonts w:ascii="Times New Roman" w:hAnsi="Times New Roman" w:cs="Times New Roman"/>
          <w:sz w:val="16"/>
          <w:szCs w:val="16"/>
        </w:rPr>
        <w:lastRenderedPageBreak/>
        <w:t xml:space="preserve">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69EAEAC9"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w:t>
      </w:r>
      <w:r w:rsidR="0039373C" w:rsidRPr="00570836">
        <w:rPr>
          <w:rFonts w:ascii="Times New Roman" w:eastAsia="Times New Roman" w:hAnsi="Times New Roman" w:cs="Times New Roman"/>
          <w:b/>
          <w:bCs/>
          <w:color w:val="3B3838"/>
          <w:sz w:val="16"/>
          <w:szCs w:val="16"/>
          <w:lang w:eastAsia="ru-RU"/>
        </w:rPr>
        <w:t xml:space="preserve">2011 </w:t>
      </w:r>
      <w:r w:rsidR="005521E3" w:rsidRPr="00570836">
        <w:rPr>
          <w:rFonts w:ascii="Times New Roman" w:eastAsia="Times New Roman" w:hAnsi="Times New Roman" w:cs="Times New Roman"/>
          <w:b/>
          <w:bCs/>
          <w:color w:val="3B3838"/>
          <w:sz w:val="16"/>
          <w:szCs w:val="16"/>
          <w:lang w:eastAsia="ru-RU"/>
        </w:rPr>
        <w:t xml:space="preserve">№ </w:t>
      </w:r>
      <w:r w:rsidR="00FD2E0F" w:rsidRPr="00570836">
        <w:rPr>
          <w:rFonts w:ascii="Times New Roman" w:eastAsia="Times New Roman" w:hAnsi="Times New Roman" w:cs="Times New Roman"/>
          <w:b/>
          <w:bCs/>
          <w:color w:val="3B3838"/>
          <w:sz w:val="16"/>
          <w:szCs w:val="16"/>
          <w:lang w:eastAsia="ru-RU"/>
        </w:rPr>
        <w:t>161</w:t>
      </w:r>
      <w:r w:rsidR="005521E3" w:rsidRPr="00570836">
        <w:rPr>
          <w:rFonts w:ascii="Times New Roman" w:eastAsia="Times New Roman" w:hAnsi="Times New Roman" w:cs="Times New Roman"/>
          <w:b/>
          <w:bCs/>
          <w:color w:val="3B3838"/>
          <w:sz w:val="16"/>
          <w:szCs w:val="16"/>
          <w:lang w:eastAsia="ru-RU"/>
        </w:rPr>
        <w:t xml:space="preserve">-ФЗ «О </w:t>
      </w:r>
      <w:r w:rsidR="0039373C" w:rsidRPr="00570836">
        <w:rPr>
          <w:rFonts w:ascii="Times New Roman" w:eastAsia="Times New Roman" w:hAnsi="Times New Roman" w:cs="Times New Roman"/>
          <w:b/>
          <w:bCs/>
          <w:color w:val="3B3838"/>
          <w:sz w:val="16"/>
          <w:szCs w:val="16"/>
          <w:lang w:eastAsia="ru-RU"/>
        </w:rPr>
        <w:t>национальной платежной системе</w:t>
      </w:r>
      <w:r w:rsidR="005521E3" w:rsidRPr="00570836">
        <w:rPr>
          <w:rFonts w:ascii="Times New Roman" w:eastAsia="Times New Roman" w:hAnsi="Times New Roman" w:cs="Times New Roman"/>
          <w:b/>
          <w:bCs/>
          <w:color w:val="3B3838"/>
          <w:sz w:val="16"/>
          <w:szCs w:val="16"/>
          <w:lang w:eastAsia="ru-RU"/>
        </w:rPr>
        <w:t>»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1C28A9CD" w14:textId="421D1328"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w:t>
      </w:r>
      <w:r w:rsidR="003667C0">
        <w:rPr>
          <w:rFonts w:ascii="Times New Roman" w:eastAsia="TimesNewRomanPSMT" w:hAnsi="Times New Roman" w:cs="Times New Roman"/>
          <w:bCs/>
          <w:sz w:val="16"/>
          <w:szCs w:val="16"/>
        </w:rPr>
        <w:t xml:space="preserve">на получение </w:t>
      </w:r>
      <w:r w:rsidRPr="001155BA">
        <w:rPr>
          <w:rFonts w:ascii="Times New Roman" w:eastAsia="TimesNewRomanPSMT" w:hAnsi="Times New Roman" w:cs="Times New Roman"/>
          <w:bCs/>
          <w:sz w:val="16"/>
          <w:szCs w:val="16"/>
        </w:rPr>
        <w:t xml:space="preserve">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w:t>
      </w:r>
      <w:r w:rsidR="00CB183F">
        <w:rPr>
          <w:rFonts w:ascii="Times New Roman" w:eastAsia="TimesNewRomanPSMT" w:hAnsi="Times New Roman" w:cs="Times New Roman"/>
          <w:bCs/>
          <w:sz w:val="16"/>
          <w:szCs w:val="16"/>
        </w:rPr>
        <w:t>, включая рекламную информацию</w:t>
      </w:r>
      <w:r w:rsidRPr="001155BA">
        <w:rPr>
          <w:rFonts w:ascii="Times New Roman" w:eastAsia="TimesNewRomanPSMT" w:hAnsi="Times New Roman" w:cs="Times New Roman"/>
          <w:bCs/>
          <w:sz w:val="16"/>
          <w:szCs w:val="16"/>
        </w:rPr>
        <w:t xml:space="preserve"> по почте, телефону, </w:t>
      </w:r>
      <w:r w:rsidR="008202C7">
        <w:rPr>
          <w:rFonts w:ascii="Times New Roman" w:eastAsia="TimesNewRomanPSMT" w:hAnsi="Times New Roman" w:cs="Times New Roman"/>
          <w:bCs/>
          <w:sz w:val="16"/>
          <w:szCs w:val="16"/>
        </w:rPr>
        <w:t xml:space="preserve">по электронной почте,  </w:t>
      </w:r>
      <w:r w:rsidRPr="001155BA">
        <w:rPr>
          <w:rFonts w:ascii="Times New Roman" w:eastAsia="TimesNewRomanPSMT" w:hAnsi="Times New Roman" w:cs="Times New Roman"/>
          <w:bCs/>
          <w:sz w:val="16"/>
          <w:szCs w:val="16"/>
        </w:rPr>
        <w:t xml:space="preserve">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w:t>
      </w:r>
      <w:r w:rsidR="008202C7">
        <w:rPr>
          <w:rFonts w:ascii="Times New Roman" w:eastAsia="TimesNewRomanPSMT" w:hAnsi="Times New Roman" w:cs="Times New Roman"/>
          <w:bCs/>
          <w:sz w:val="16"/>
          <w:szCs w:val="16"/>
        </w:rPr>
        <w:t>иным не запрещенным законом способом</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74434422" w14:textId="37A76312"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4597C2B0"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bookmarkStart w:id="2" w:name="_GoBack"/>
      <w:bookmarkEnd w:id="2"/>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charset w:val="CC"/>
    <w:family w:val="auto"/>
    <w:pitch w:val="variable"/>
  </w:font>
  <w:font w:name="TimesNewRomanPS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83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47BA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566"/>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0E38"/>
    <w:rsid w:val="001B30E3"/>
    <w:rsid w:val="001B5680"/>
    <w:rsid w:val="001C49D2"/>
    <w:rsid w:val="001C5521"/>
    <w:rsid w:val="001C6001"/>
    <w:rsid w:val="001D4256"/>
    <w:rsid w:val="001D73CD"/>
    <w:rsid w:val="001E1980"/>
    <w:rsid w:val="001F09A0"/>
    <w:rsid w:val="001F301E"/>
    <w:rsid w:val="001F5DBA"/>
    <w:rsid w:val="001F71F1"/>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667C0"/>
    <w:rsid w:val="00370351"/>
    <w:rsid w:val="00370FD0"/>
    <w:rsid w:val="003734D8"/>
    <w:rsid w:val="00375602"/>
    <w:rsid w:val="003768E8"/>
    <w:rsid w:val="00382048"/>
    <w:rsid w:val="00382CAF"/>
    <w:rsid w:val="00386827"/>
    <w:rsid w:val="003917AB"/>
    <w:rsid w:val="0039373C"/>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664F"/>
    <w:rsid w:val="0047756A"/>
    <w:rsid w:val="004804FC"/>
    <w:rsid w:val="00486C93"/>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0836"/>
    <w:rsid w:val="00572235"/>
    <w:rsid w:val="00577DCF"/>
    <w:rsid w:val="00582300"/>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687"/>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02C7"/>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3D42"/>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0DB0"/>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183F"/>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5F61"/>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2ACF"/>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2944"/>
    <w:rsid w:val="00F84D37"/>
    <w:rsid w:val="00F87321"/>
    <w:rsid w:val="00F925FF"/>
    <w:rsid w:val="00FA0DB9"/>
    <w:rsid w:val="00FB0A4B"/>
    <w:rsid w:val="00FB20E1"/>
    <w:rsid w:val="00FB6194"/>
    <w:rsid w:val="00FD2E0F"/>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Заголовок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989230">
      <w:bodyDiv w:val="1"/>
      <w:marLeft w:val="0"/>
      <w:marRight w:val="0"/>
      <w:marTop w:val="0"/>
      <w:marBottom w:val="0"/>
      <w:divBdr>
        <w:top w:val="none" w:sz="0" w:space="0" w:color="auto"/>
        <w:left w:val="none" w:sz="0" w:space="0" w:color="auto"/>
        <w:bottom w:val="none" w:sz="0" w:space="0" w:color="auto"/>
        <w:right w:val="none" w:sz="0" w:space="0" w:color="auto"/>
      </w:divBdr>
    </w:div>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60B73-BF40-4633-8BB9-0D42BFA3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1590</Words>
  <Characters>9067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6</cp:revision>
  <cp:lastPrinted>2025-08-08T14:42:00Z</cp:lastPrinted>
  <dcterms:created xsi:type="dcterms:W3CDTF">2025-07-18T13:07:00Z</dcterms:created>
  <dcterms:modified xsi:type="dcterms:W3CDTF">2025-08-21T13:16:00Z</dcterms:modified>
</cp:coreProperties>
</file>